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spacing w:after="0" w:before="0" w:line="240" w:lineRule="auto"/>
        <w:ind w:firstLine="680" w:left="0"/>
        <w:jc w:val="both"/>
        <w:rPr>
          <w:rFonts w:ascii="Times New Roman" w:hAnsi="Times New Roman"/>
          <w:b w:val="1"/>
          <w:color w:val="000000"/>
          <w:sz w:val="28"/>
          <w:u w:val="none"/>
        </w:rPr>
      </w:pPr>
      <w:r>
        <w:rPr>
          <w:rFonts w:ascii="Times New Roman" w:hAnsi="Times New Roman"/>
          <w:b w:val="1"/>
          <w:color w:val="000000"/>
          <w:sz w:val="28"/>
          <w:u w:val="none"/>
        </w:rPr>
        <w:t xml:space="preserve">Прокуратура г. Электростали Московской области разъясняет: </w:t>
      </w:r>
      <w:r>
        <w:rPr>
          <w:rFonts w:ascii="Times New Roman" w:hAnsi="Times New Roman"/>
          <w:b w:val="1"/>
          <w:color w:val="000000"/>
          <w:sz w:val="28"/>
          <w:u w:val="none"/>
        </w:rPr>
        <w:t>«Какие льготы и социальные гарантии предоставляются единственному (одинокому) родителю?»</w:t>
      </w:r>
    </w:p>
    <w:p w14:paraId="02000000">
      <w:pPr>
        <w:pStyle w:val="Style_1"/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Матери-одиночки и отцы, воспитывающие ребенка без матери, при определенных условиях имеют право на гарантии в сфере трудовых отношений, налоговые льготы и т.п.</w:t>
      </w:r>
    </w:p>
    <w:p w14:paraId="03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Гарантии в сфере трудовых отношений</w:t>
      </w:r>
    </w:p>
    <w:p w14:paraId="04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Не допускается расторжение трудового договора по инициативе работодателя с одинокой матерью, воспитывающей ребенка-инвалида в возрасте до 18 лет или ребенка в возрасте до 16 лет, а также с другим лицом, воспитывающим таких детей без матери (за исключением увольнения по отдельным основаниям, в частности в случае ликвидации организации, однократного грубого нарушения работником трудовых обязанностей, представления им работодателю подложных документов при заключении трудового договора).</w:t>
      </w:r>
    </w:p>
    <w:p w14:paraId="05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При этом к другому лицу, воспитывающему таких детей без матери, может быть отнесен, в частности, отец в случае, если мать ребенка умерла, лишена или ограничена в родительских правах, признана недееспособной (ограниченно дееспособной), по состоянию здоровья не может лично воспитывать и содержать ребенка, а также в иных ситуациях (п. п. 1, 6, 11 ч. 1 ст. 81, ч. 4 ст. 261, ст. 264 ТК РФ; п. 2 Постановления Пленума Верховного Суда РФ N 1).</w:t>
      </w:r>
    </w:p>
    <w:p w14:paraId="06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Налоговые льготы</w:t>
      </w:r>
    </w:p>
    <w:p w14:paraId="07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В части предоставления единственному родителю налоговый вычет предоставляется на каждого ребенка в размере, который зависит от количества детей у налогоплательщика и наличия у ребенка инвалидности, а именно (абз. 1 - 10 пп. 4 п. 1 ст. 218 НК РФ; пп. "а" п. 28 ст. 2, ч. 2 ст. 8 Закона N 176-ФЗ):</w:t>
      </w:r>
    </w:p>
    <w:p w14:paraId="08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1 400 руб. - на первого ребенка;</w:t>
      </w:r>
    </w:p>
    <w:p w14:paraId="09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2 800 руб. - на второго ребенка (до 01.01.2025 - 1 400 руб.);</w:t>
      </w:r>
    </w:p>
    <w:p w14:paraId="0A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6 000 руб. - на третьего и каждого последующего ребенка (до 01.01.2025 - 3 000 руб.);</w:t>
      </w:r>
    </w:p>
    <w:p w14:paraId="0B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12 000 руб. - на ребенка-инвалида (инвалида с детства), а также учащегося очной формы обучения, аспиранта, ординатора, интерна, студента в возрасте до 24 лет, если он является инвалидом I или II группы, вне зависимости от очередности рождения такого ребенка (до 01.01.2025 - 6 000 руб. для опекуна, попечителя, приемного родителя, супруга (супруги) приемного родителя).</w:t>
      </w:r>
    </w:p>
    <w:p w14:paraId="0C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При этом размер стандартного налогового вычета на ребенка, предоставляемого в связи с наличием у него инвалидности, суммируется с размером вычета, определяемого с учетом того, каким по счету ребенком он является.</w:t>
      </w:r>
    </w:p>
    <w:p w14:paraId="0D000000">
      <w:pPr>
        <w:pStyle w:val="Style_2"/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2_ch" w:type="character">
    <w:name w:val="Normal"/>
    <w:link w:val="Style_2"/>
    <w:rPr>
      <w:rFonts w:ascii="XO Thames" w:hAnsi="XO Thames"/>
      <w:sz w:val="28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" w:type="paragraph">
    <w:name w:val="heading 1"/>
    <w:next w:val="Style_2"/>
    <w:link w:val="Style_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_ch" w:type="character">
    <w:name w:val="heading 1"/>
    <w:link w:val="Style_1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2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2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2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2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2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2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2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2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2025-11-21T08:16:33Z</dcterms:modified>
</cp:coreProperties>
</file>